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분실물 처리 규칙을 두 윤리 관점으로 평가 — 나의 탐구 노트</w:t>
      </w:r>
    </w:p>
    <w:p>
      <w:pPr>
        <w:spacing w:after="240"/>
      </w:pPr>
      <w:r>
        <w:t xml:space="preserve">똑똑 · 에디터 모아 · 발행 2026.10.13</w:t>
      </w:r>
    </w:p>
    <w:p>
      <w:pPr>
        <w:spacing w:after="120" w:line="320"/>
      </w:pPr>
      <w:r>
        <w:t xml:space="preserve">주운 물건을 처리할 때 의무와 결과를 각각 어떻게 따져야 할까?</w:t>
      </w:r>
    </w:p>
    <w:p>
      <w:pPr>
        <w:spacing w:after="120" w:line="320"/>
      </w:pPr>
      <w:r>
        <w:t xml:space="preserve">이름·작성일:</w:t>
      </w:r>
    </w:p>
    <w:p>
      <w:pPr>
        <w:spacing w:after="120" w:line="320"/>
      </w:pPr>
      <w:r>
        <w:t xml:space="preserve">나의 탐구 질문:</w:t>
      </w:r>
    </w:p>
    <w:p>
      <w:pPr>
        <w:spacing w:after="120" w:line="320"/>
      </w:pPr>
      <w:r>
        <w:t xml:space="preserve">제출 형식·분량:</w:t>
      </w:r>
    </w:p>
    <w:p>
      <w:pPr>
        <w:spacing w:after="120" w:line="320"/>
      </w:pPr>
      <w:r>
        <w:t xml:space="preserve">선생님의 평가 기준:</w:t>
      </w:r>
    </w:p>
    <w:p>
      <w:pPr>
        <w:spacing w:after="120" w:line="320"/>
      </w:pPr>
      <w:r>
        <w:t xml:space="preserve">AI·도구 사용 허용 조건:</w:t>
      </w:r>
    </w:p>
    <w:p>
      <w:pPr>
        <w:pStyle w:val="Heading1"/>
        <w:keepNext/>
      </w:pPr>
      <w:r>
        <w:t xml:space="preserve">중학교 시작</w:t>
      </w:r>
    </w:p>
    <w:p>
      <w:pPr>
        <w:spacing w:after="120" w:line="320"/>
      </w:pPr>
      <w:r>
        <w:t xml:space="preserve">가상의 교실에서 이름 없는 지갑을 발견한 학생에게 “교무실에 맡기기”, “학급 채팅에 사진 올리기”, “그 자리에 두기” 세 선택지가 있습니다. 개인정보 노출 위험과 주인을 찾을 가능성을 각각 적습니다.</w:t>
      </w:r>
    </w:p>
    <w:p>
      <w:pPr>
        <w:pStyle w:val="Heading1"/>
        <w:keepNext/>
      </w:pPr>
      <w:r>
        <w:t xml:space="preserve">고등학교 심화</w:t>
      </w:r>
    </w:p>
    <w:p>
      <w:pPr>
        <w:spacing w:after="120" w:line="320"/>
      </w:pPr>
      <w:r>
        <w:t xml:space="preserve">분실물의 소유권·개인정보 보호와 빠른 반환이라는 목표가 충돌할 때 두 관점의 논거를 씁니다. 사진 공개를 허용할지 같은 쟁점에서는 더 안전한 대안을 먼저 제시하고 사실 가정이 달라질 때 결론도 달라지는지 시험합니다.</w:t>
      </w:r>
    </w:p>
    <w:p>
      <w:pPr>
        <w:pStyle w:val="Heading1"/>
        <w:keepNext/>
      </w:pPr>
      <w:r>
        <w:t xml:space="preserve">준비 순서</w:t>
      </w:r>
    </w:p>
    <w:p>
      <w:pPr>
        <w:spacing w:after="120" w:line="320"/>
      </w:pPr>
      <w:r>
        <w:t xml:space="preserve">1. 물건·발견 장소·주인을 알 수 있는 정보 등 가상 사실을 정하고 선택지 세 개를 적는다.</w:t>
      </w:r>
    </w:p>
    <w:p>
      <w:pPr>
        <w:spacing w:after="120" w:line="320"/>
      </w:pPr>
      <w:r>
        <w:t xml:space="preserve">2. 의무론의 권리·반환 의무와 결과주의의 이익·피해를 두 열로 나누어 각 선택지에 적용한다.</w:t>
      </w:r>
    </w:p>
    <w:p>
      <w:pPr>
        <w:spacing w:after="120" w:line="320"/>
      </w:pPr>
      <w:r>
        <w:t xml:space="preserve">3. 반례를 하나 추가한 뒤 어느 판단이 어떻게 바뀌는지와 남는 불확실성을 짧은 결론으로 쓴다.</w:t>
      </w:r>
    </w:p>
    <w:p>
      <w:pPr>
        <w:pStyle w:val="Heading1"/>
        <w:keepNext/>
      </w:pPr>
      <w:r>
        <w:t xml:space="preserve">1. 선택 비교표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97"/>
        <w:gridCol w:w="2497"/>
        <w:gridCol w:w="2497"/>
        <w:gridCol w:w="2497"/>
      </w:tblGrid>
      <w:tr>
        <w:trPr>
          <w:cantSplit/>
          <w:tblHeader/>
        </w:trPr>
        <w:tc>
          <w:tcPr>
            <w:tcW w:type="pct" w:w="1250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 w:val="clear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행동</w:t>
            </w:r>
          </w:p>
        </w:tc>
        <w:tc>
          <w:tcPr>
            <w:tcW w:type="pct" w:w="1250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 w:val="clear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적용할 의무·권리</w:t>
            </w:r>
          </w:p>
        </w:tc>
        <w:tc>
          <w:tcPr>
            <w:tcW w:type="pct" w:w="1250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 w:val="clear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예상 이익·피해</w:t>
            </w:r>
          </w:p>
        </w:tc>
        <w:tc>
          <w:tcPr>
            <w:tcW w:type="pct" w:w="1250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 w:val="clear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빠진 사실</w:t>
            </w:r>
          </w:p>
        </w:tc>
      </w:tr>
      <w:tr>
        <w:trPr>
          <w:cantSplit/>
          <w:tblHeader w:val="off"/>
        </w:trPr>
        <w:tc>
          <w:tcPr>
            <w:tcW w:type="pct" w:w="1250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250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250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250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off"/>
        </w:trPr>
        <w:tc>
          <w:tcPr>
            <w:tcW w:type="pct" w:w="1250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250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250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250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off"/>
        </w:trPr>
        <w:tc>
          <w:tcPr>
            <w:tcW w:type="pct" w:w="1250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250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250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250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</w:tbl>
    <w:p>
      <w:pPr>
        <w:pStyle w:val="Heading1"/>
        <w:keepNext/>
      </w:pPr>
      <w:r>
        <w:t xml:space="preserve">2. 판단 수정표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97"/>
        <w:gridCol w:w="2497"/>
        <w:gridCol w:w="2497"/>
        <w:gridCol w:w="2497"/>
      </w:tblGrid>
      <w:tr>
        <w:trPr>
          <w:cantSplit/>
          <w:tblHeader/>
        </w:trPr>
        <w:tc>
          <w:tcPr>
            <w:tcW w:type="pct" w:w="1250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 w:val="clear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처음 선택</w:t>
            </w:r>
          </w:p>
        </w:tc>
        <w:tc>
          <w:tcPr>
            <w:tcW w:type="pct" w:w="1250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 w:val="clear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추가 사실</w:t>
            </w:r>
          </w:p>
        </w:tc>
        <w:tc>
          <w:tcPr>
            <w:tcW w:type="pct" w:w="1250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 w:val="clear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달라진 이유</w:t>
            </w:r>
          </w:p>
        </w:tc>
        <w:tc>
          <w:tcPr>
            <w:tcW w:type="pct" w:w="1250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 w:val="clear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개인정보 보호 대안</w:t>
            </w:r>
          </w:p>
        </w:tc>
      </w:tr>
      <w:tr>
        <w:trPr>
          <w:cantSplit/>
          <w:tblHeader w:val="off"/>
        </w:trPr>
        <w:tc>
          <w:tcPr>
            <w:tcW w:type="pct" w:w="1250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250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250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250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off"/>
        </w:trPr>
        <w:tc>
          <w:tcPr>
            <w:tcW w:type="pct" w:w="1250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250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250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250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off"/>
        </w:trPr>
        <w:tc>
          <w:tcPr>
            <w:tcW w:type="pct" w:w="1250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250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250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250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</w:tbl>
    <w:p>
      <w:pPr>
        <w:pStyle w:val="Heading1"/>
        <w:keepNext/>
      </w:pPr>
      <w:r>
        <w:t xml:space="preserve">해결할 문제와 대상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986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주장·이유·근거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986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반론과 조정 조건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986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실행 방법과 확인 지표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986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자료 기록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664"/>
        <w:gridCol w:w="1664"/>
        <w:gridCol w:w="1664"/>
        <w:gridCol w:w="1664"/>
        <w:gridCol w:w="1664"/>
        <w:gridCol w:w="1664"/>
      </w:tblGrid>
      <w:tr>
        <w:trPr>
          <w:cantSplit/>
          <w:tblHeader/>
        </w:trPr>
        <w:tc>
          <w:tcPr>
            <w:tcW w:type="pct" w:w="833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 w:val="clear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제목</w:t>
            </w:r>
          </w:p>
        </w:tc>
        <w:tc>
          <w:tcPr>
            <w:tcW w:type="pct" w:w="833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 w:val="clear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작성자·기관</w:t>
            </w:r>
          </w:p>
        </w:tc>
        <w:tc>
          <w:tcPr>
            <w:tcW w:type="pct" w:w="833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 w:val="clear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발행일</w:t>
            </w:r>
          </w:p>
        </w:tc>
        <w:tc>
          <w:tcPr>
            <w:tcW w:type="pct" w:w="833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 w:val="clear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주소·쪽수</w:t>
            </w:r>
          </w:p>
        </w:tc>
        <w:tc>
          <w:tcPr>
            <w:tcW w:type="pct" w:w="833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 w:val="clear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확인한 근거</w:t>
            </w:r>
          </w:p>
        </w:tc>
        <w:tc>
          <w:tcPr>
            <w:tcW w:type="pct" w:w="833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 w:val="clear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확인 날짜</w:t>
            </w:r>
          </w:p>
        </w:tc>
      </w:tr>
      <w:tr>
        <w:trPr>
          <w:cantSplit/>
          <w:tblHeader w:val="off"/>
        </w:trPr>
        <w:tc>
          <w:tcPr>
            <w:tcW w:type="pct" w:w="833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833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833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833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833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833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</w:tbl>
    <w:p>
      <w:pPr>
        <w:pStyle w:val="Heading1"/>
        <w:keepNext/>
      </w:pPr>
      <w:r>
        <w:t xml:space="preserve">도움 받은 부분과 나의 수정</w:t>
      </w:r>
    </w:p>
    <w:p>
      <w:pPr>
        <w:spacing w:after="120" w:line="320"/>
      </w:pPr>
      <w:r>
        <w:t xml:space="preserve">도움의 출처 / 활용 범위 / 검증한 내용 / 수정 전후 / 나의 판단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986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제출 전 점검</w:t>
      </w:r>
    </w:p>
    <w:p>
      <w:pPr>
        <w:spacing w:after="120" w:line="320"/>
      </w:pPr>
      <w:r>
        <w:t xml:space="preserve">□ 분실물 사진이나 실제 연락처를 활동 자료에 넣지 않았나요?</w:t>
      </w:r>
    </w:p>
    <w:p>
      <w:pPr>
        <w:spacing w:after="120" w:line="320"/>
      </w:pPr>
      <w:r>
        <w:t xml:space="preserve">□ 한 관점을 “규칙만”, 다른 관점을 “다수결만”으로 단순화하지 않았나요?</w:t>
      </w:r>
    </w:p>
    <w:p>
      <w:pPr>
        <w:pStyle w:val="Heading1"/>
        <w:keepNext/>
      </w:pPr>
      <w:r>
        <w:t xml:space="preserve">참고 자료를 찾을 곳</w:t>
      </w:r>
    </w:p>
    <w:p>
      <w:pPr>
        <w:spacing w:after="120" w:line="320"/>
      </w:pPr>
      <w:r>
        <w:t xml:space="preserve">Stanford Encyclopedia of Philosophy · Deontological Ethics — https://plato.stanford.edu/entries/ethics-deontological/</w:t>
      </w:r>
    </w:p>
    <w:p>
      <w:pPr>
        <w:spacing w:after="120" w:line="320"/>
      </w:pPr>
      <w:r>
        <w:t xml:space="preserve">Introduction and §1: duty-based assessment and consequentialist contrast</w:t>
      </w:r>
    </w:p>
    <w:p>
      <w:pPr>
        <w:spacing w:after="120" w:line="320"/>
      </w:pPr>
      <w:r>
        <w:t xml:space="preserve">Stanford Encyclopedia of Philosophy · Consequentialism — https://plato.stanford.edu/entries/consequentialism/</w:t>
      </w:r>
    </w:p>
    <w:p>
      <w:pPr>
        <w:spacing w:after="120" w:line="320"/>
      </w:pPr>
      <w:r>
        <w:t xml:space="preserve">§1–2: moral evaluation by consequences</w:t>
      </w:r>
    </w:p>
    <w:p>
      <w:r>
        <w:br w:type="page"/>
      </w:r>
    </w:p>
    <w:p>
      <w:pPr>
        <w:pStyle w:val="Heading1"/>
        <w:keepNext/>
      </w:pPr>
      <w:r>
        <w:t xml:space="preserve">예시 해설 — 작성 뒤 비교하기</w:t>
      </w:r>
    </w:p>
    <w:p>
      <w:pPr>
        <w:spacing w:after="120" w:line="320"/>
      </w:pPr>
      <w:r>
        <w:t xml:space="preserve">가상의 이름 없는 지갑을 교실에서 주웠다.</w:t>
      </w:r>
    </w:p>
    <w:p>
      <w:pPr>
        <w:spacing w:after="120" w:line="320"/>
      </w:pPr>
      <w:r>
        <w:t xml:space="preserve">교무실에 맡기기는 반환 절차를 따르면서 개인정보 노출을 줄일 수 있는지 검토한다.</w:t>
      </w:r>
    </w:p>
    <w:p>
      <w:pPr>
        <w:spacing w:after="120" w:line="320"/>
      </w:pPr>
      <w:r>
        <w:t xml:space="preserve">의무론은 소유권과 반환 의무를, 결과주의는 주인을 찾을 가능성과 노출 피해를 강조할 수 있다. 두 관점 모두 안전한 인계에 동의할 수도 있다.</w:t>
      </w:r>
    </w:p>
    <w:p>
      <w:pPr>
        <w:spacing w:after="120" w:line="320"/>
      </w:pPr>
      <w:r>
        <w:t xml:space="preserve">학교의 실제 분실물 규정은 별도 원문을 확인해야 하며 가상 토론은 규정 안내가 아니다.</w:t>
      </w:r>
    </w:p>
    <w:p>
      <w:pPr>
        <w:pStyle w:val="Heading1"/>
        <w:keepNext/>
      </w:pPr>
      <w:r>
        <w:t xml:space="preserve">자기 점검 기준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329"/>
        <w:gridCol w:w="3329"/>
        <w:gridCol w:w="3329"/>
      </w:tblGrid>
      <w:tr>
        <w:trPr>
          <w:cantSplit/>
          <w:tblHeader/>
        </w:trPr>
        <w:tc>
          <w:tcPr>
            <w:tcW w:type="pct" w:w="1667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 w:val="clear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기준</w:t>
            </w:r>
          </w:p>
        </w:tc>
        <w:tc>
          <w:tcPr>
            <w:tcW w:type="pct" w:w="1667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 w:val="clear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충분히 드러난 모습</w:t>
            </w:r>
          </w:p>
        </w:tc>
        <w:tc>
          <w:tcPr>
            <w:tcW w:type="pct" w:w="1667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 w:val="clear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더 보완할 모습</w:t>
            </w:r>
          </w:p>
        </w:tc>
      </w:tr>
      <w:tr>
        <w:trPr>
          <w:cantSplit/>
          <w:tblHeader w:val="off"/>
        </w:trPr>
        <w:tc>
          <w:tcPr>
            <w:tcW w:type="pct" w:w="1667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관점 적용</w:t>
            </w:r>
          </w:p>
        </w:tc>
        <w:tc>
          <w:tcPr>
            <w:tcW w:type="pct" w:w="1667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각 관점의 질문을 같은 사실에 구체적으로 적용한다.</w:t>
            </w:r>
          </w:p>
        </w:tc>
        <w:tc>
          <w:tcPr>
            <w:tcW w:type="pct" w:w="1667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의무론은 무조건 규칙, 결과주의는 무조건 다수결이라고 쓴다.</w:t>
            </w:r>
          </w:p>
        </w:tc>
      </w:tr>
      <w:tr>
        <w:trPr>
          <w:cantSplit/>
          <w:tblHeader w:val="off"/>
        </w:trPr>
        <w:tc>
          <w:tcPr>
            <w:tcW w:type="pct" w:w="1667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반례 검토</w:t>
            </w:r>
          </w:p>
        </w:tc>
        <w:tc>
          <w:tcPr>
            <w:tcW w:type="pct" w:w="1667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새 사실이 판단에 미치는 영향을 설명한다.</w:t>
            </w:r>
          </w:p>
        </w:tc>
        <w:tc>
          <w:tcPr>
            <w:tcW w:type="pct" w:w="1667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처음 결론을 이유 없이 반복한다.</w:t>
            </w:r>
          </w:p>
        </w:tc>
      </w:tr>
    </w:tbl>
    <w:p>
      <w:pPr>
        <w:spacing w:after="120" w:line="320"/>
      </w:pPr>
      <w:r>
        <w:t xml:space="preserve">똑똑 · 큐레아 / 자체 제작 활동지 / 학교의 공식 평가 양식이 아닙니다.</w:t>
      </w:r>
    </w:p>
    <w:p>
      <w:pPr>
        <w:pStyle w:val="Source"/>
        <w:spacing w:before="240"/>
      </w:pPr>
      <w:r>
        <w:t xml:space="preserve">온라인 원문: https://www.dokdok.co/projects/lost-property-ethical-lenses</w:t>
      </w:r>
    </w:p>
    <w:sectPr>
      <w:footerReference w:type="default" r:id="rId6"/>
      <w:pgSz w:w="11906" w:h="16838" w:orient="portrait"/>
      <w:pgMar w:top="960" w:right="960" w:bottom="960" w:left="96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anumGothic">
    <w:family w:val="auto"/>
    <w:pitch w:val="variable"/>
    <w:sig w:usb0="E0002AFF" w:usb1="C000247B" w:usb2="00000009" w:usb3="00000000" w:csb0="000001FF" w:csb1="00000000"/>
    <w:embedRegular r:id="rId1" w:fontKey="{12FE14AD-06CC-321D-B6F6-A1E3A9419260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sz w:val="16"/>
        <w:szCs w:val="16"/>
      </w:rPr>
      <w:t xml:space="preserve">똑똑 · 큐레아  |  </w:t>
    </w:r>
    <w:r>
      <w:rPr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NanumGothic" w:cs="NanumGothic" w:eastAsia="NanumGothic" w:hAnsi="NanumGothic"/>
        <w:color w:val="222222"/>
        <w:sz w:val="21"/>
        <w:szCs w:val="21"/>
      </w:rPr>
    </w:rPrDefault>
    <w:pPrDefault>
      <w:pPr>
        <w:spacing w:after="100" w:line="320"/>
      </w:pPr>
    </w:pPrDefault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pPr>
      <w:spacing w:after="200"/>
    </w:pPr>
    <w:rPr>
      <w:b/>
      <w:bCs/>
      <w:color w:val="111111"/>
      <w:sz w:val="40"/>
      <w:szCs w:val="40"/>
    </w:rPr>
  </w:style>
  <w:style w:type="paragraph" w:styleId="Heading1">
    <w:name w:val="Heading 1"/>
    <w:basedOn w:val="Normal"/>
    <w:next w:val="Normal"/>
    <w:qFormat/>
    <w:pPr>
      <w:keepNext/>
      <w:spacing w:after="140" w:before="260"/>
    </w:pPr>
    <w:rPr>
      <w:b/>
      <w:bCs/>
      <w:color w:val="111111"/>
      <w:sz w:val="28"/>
      <w:szCs w:val="28"/>
    </w:rPr>
  </w:style>
  <w:style w:type="paragraph" w:styleId="Heading2">
    <w:name w:val="Heading 2"/>
    <w:basedOn w:val="Normal"/>
    <w:next w:val="Normal"/>
    <w:qFormat/>
    <w:pPr>
      <w:keepNext/>
      <w:spacing w:after="100" w:before="160"/>
    </w:pPr>
    <w:rPr>
      <w:b/>
      <w:bCs/>
      <w:color w:val="111111"/>
      <w:sz w:val="24"/>
      <w:szCs w:val="24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Source">
    <w:name w:val="Source"/>
    <w:basedOn w:val="Normal"/>
    <w:rPr>
      <w:color w:val="555555"/>
      <w:sz w:val="17"/>
      <w:szCs w:val="17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분실물 처리 규칙을 두 윤리 관점으로 평가 — 나의 탐구 노트</dc:title>
  <dc:creator>똑똑</dc:creator>
  <dc:description>똑똑 · 에디터 모아 · 발행 2026.10.13</dc:description>
  <cp:lastModifiedBy>Un-named</cp:lastModifiedBy>
  <cp:revision>1</cp:revision>
  <dcterms:created xsi:type="dcterms:W3CDTF">2026-10-13T10:16:31.835Z</dcterms:created>
  <dcterms:modified xsi:type="dcterms:W3CDTF">2026-10-13T10:16:31.835Z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