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조건문으로 만드는 분류 규칙 설명서 — 나의 탐구 노트</w:t>
      </w:r>
    </w:p>
    <w:p>
      <w:pPr>
        <w:spacing w:after="240"/>
      </w:pPr>
      <w:r>
        <w:t xml:space="preserve">똑똑 · 에디터 나루 · 발행 2026.09.30</w:t>
      </w:r>
    </w:p>
    <w:p>
      <w:pPr>
        <w:spacing w:after="120" w:line="320"/>
      </w:pPr>
      <w:r>
        <w:t xml:space="preserve">조건문에서 100쪽인 책이 두 분류에 동시에 들어가면 어떻게 고칠까?</w:t>
      </w:r>
    </w:p>
    <w:p>
      <w:pPr>
        <w:spacing w:after="120" w:line="320"/>
      </w:pPr>
      <w:r>
        <w:t xml:space="preserve">이름·작성일:</w:t>
      </w:r>
    </w:p>
    <w:p>
      <w:pPr>
        <w:spacing w:after="120" w:line="320"/>
      </w:pPr>
      <w:r>
        <w:t xml:space="preserve">나의 탐구 질문:</w:t>
      </w:r>
    </w:p>
    <w:p>
      <w:pPr>
        <w:spacing w:after="120" w:line="320"/>
      </w:pPr>
      <w:r>
        <w:t xml:space="preserve">제출 형식·분량:</w:t>
      </w:r>
    </w:p>
    <w:p>
      <w:pPr>
        <w:spacing w:after="120" w:line="320"/>
      </w:pPr>
      <w:r>
        <w:t xml:space="preserve">선생님의 평가 기준:</w:t>
      </w:r>
    </w:p>
    <w:p>
      <w:pPr>
        <w:spacing w:after="120" w:line="320"/>
      </w:pPr>
      <w:r>
        <w:t xml:space="preserve">AI·도구 사용 허용 조건:</w:t>
      </w:r>
    </w:p>
    <w:p>
      <w:pPr>
        <w:pStyle w:val="Heading1"/>
        <w:keepNext/>
      </w:pPr>
      <w:r>
        <w:t xml:space="preserve">중학교 시작</w:t>
      </w:r>
    </w:p>
    <w:p>
      <w:pPr>
        <w:spacing w:after="120" w:line="320"/>
      </w:pPr>
      <w:r>
        <w:t xml:space="preserve">가상의 도서 카드에서 주제와 분량으로 분류 규칙을 만든다. 관찰 사실과 자기 해석을 두 칸에 나눠 기록한다. 산출물: 조건문 흐름도와 경계 사례표.</w:t>
      </w:r>
    </w:p>
    <w:p>
      <w:pPr>
        <w:pStyle w:val="Heading1"/>
        <w:keepNext/>
      </w:pPr>
      <w:r>
        <w:t xml:space="preserve">고등학교 심화</w:t>
      </w:r>
    </w:p>
    <w:p>
      <w:pPr>
        <w:spacing w:after="120" w:line="320"/>
      </w:pPr>
      <w:r>
        <w:t xml:space="preserve">if·else 조건의 순서를 바꿔 경계값 100쪽과 분류되지 않는 카드를 시험한다. 겹치는 조건에는 우선순위를, 해당 없는 카드에는 기본 분류를 명시한다. 같은 기준을 다른 조건에도 적용해 결론이 바뀌는 경우를 찾는다. 취향을 추정하는 규칙을 사람의 능력 평가로 확장하지 않는다.</w:t>
      </w:r>
    </w:p>
    <w:p>
      <w:pPr>
        <w:pStyle w:val="Heading1"/>
        <w:keepNext/>
      </w:pPr>
      <w:r>
        <w:t xml:space="preserve">준비 순서</w:t>
      </w:r>
    </w:p>
    <w:p>
      <w:pPr>
        <w:spacing w:after="120" w:line="320"/>
      </w:pPr>
      <w:r>
        <w:t xml:space="preserve">1. 가상의 도서 카드에서 주제와 분량으로 분류 규칙을 만든다. 비교할 조건을 먼저 한 문장으로 정하고 사용한 자료의 이름·시점 또는 가상 설정을 활동지 맨 위에 적는다. 비교 대상이 서로 다른 조건이라면 맞출 수 있는 부분과 맞출 수 없는 부분을 표시한다.</w:t>
      </w:r>
    </w:p>
    <w:p>
      <w:pPr>
        <w:spacing w:after="120" w:line="320"/>
      </w:pPr>
      <w:r>
        <w:t xml:space="preserve">2. if·else 조건의 순서를 바꿔 경계값 100쪽과 분류되지 않는 카드를 시험한다. 원문 표현의 위치, 표의 행, 계산식, 관찰 시간 중 해당하는 근거를 결과 옆에 남긴다. 실제로 본 것과 그것을 설명하는 추론을 다른 칸에 적는다.</w:t>
      </w:r>
    </w:p>
    <w:p>
      <w:pPr>
        <w:spacing w:after="120" w:line="320"/>
      </w:pPr>
      <w:r>
        <w:t xml:space="preserve">3. 겹치는 조건에는 우선순위를, 해당 없는 카드에는 기본 분류를 명시한다. 산출물은 조건문 흐름도와 경계 사례표. 판단이 달라질 수 있는 조건을 하나 검토하고, 다음 한계를 결론에 적는다: 취향을 추정하는 규칙을 사람의 능력 평가로 확장하지 않는다. 친구가 같은 근거로 결론을 따라갈 수 있는지 확인한다.</w:t>
      </w:r>
    </w:p>
    <w:p>
      <w:pPr>
        <w:pStyle w:val="Heading1"/>
        <w:keepNext/>
      </w:pPr>
      <w:r>
        <w:t xml:space="preserve">1. 조건문으로 만드는 분류 규칙 설명서 활동지</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tblGrid>
      <w:tr>
        <w:trPr>
          <w:cantSplit/>
          <w:tblHeader/>
        </w:trPr>
        <w:tc>
          <w:tcPr>
            <w:tcW w:type="pct" w:w="25%"/>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조건 순서</w:t>
            </w:r>
          </w:p>
        </w:tc>
        <w:tc>
          <w:tcPr>
            <w:tcW w:type="pct" w:w="25%"/>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입력 책</w:t>
            </w:r>
          </w:p>
        </w:tc>
        <w:tc>
          <w:tcPr>
            <w:tcW w:type="pct" w:w="25%"/>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맞는 조건</w:t>
            </w:r>
          </w:p>
        </w:tc>
        <w:tc>
          <w:tcPr>
            <w:tcW w:type="pct" w:w="25%"/>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출력 분류</w:t>
            </w:r>
          </w:p>
        </w:tc>
      </w:tr>
      <w:tr>
        <w:trPr>
          <w:cantSplit/>
          <w:tblHeader w:val="false"/>
        </w:trPr>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r>
      <w:tr>
        <w:trPr>
          <w:cantSplit/>
          <w:tblHeader w:val="false"/>
        </w:trPr>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r>
      <w:tr>
        <w:trPr>
          <w:cantSplit/>
          <w:tblHeader w:val="false"/>
        </w:trPr>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540"/>
            </w:pPr>
            <w:r>
              <w:rPr>
                <w:b w:val="false"/>
                <w:bCs w:val="false"/>
              </w:rPr>
              <w:t xml:space="preserve"> </w:t>
            </w:r>
          </w:p>
        </w:tc>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540"/>
            </w:pPr>
            <w:r>
              <w:rPr>
                <w:b w:val="false"/>
                <w:bCs w:val="false"/>
              </w:rPr>
              <w:t xml:space="preserve"> </w:t>
            </w:r>
          </w:p>
        </w:tc>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540"/>
            </w:pPr>
            <w:r>
              <w:rPr>
                <w:b w:val="false"/>
                <w:bCs w:val="false"/>
              </w:rPr>
              <w:t xml:space="preserve"> </w:t>
            </w:r>
          </w:p>
        </w:tc>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540"/>
            </w:pPr>
            <w:r>
              <w:rPr>
                <w:b w:val="false"/>
                <w:bCs w:val="false"/>
              </w:rPr>
              <w:t xml:space="preserve"> </w:t>
            </w:r>
          </w:p>
        </w:tc>
      </w:tr>
    </w:tbl>
    <w:p>
      <w:pPr>
        <w:pStyle w:val="Heading1"/>
        <w:keepNext/>
      </w:pPr>
      <w:r>
        <w:t xml:space="preserve">2. 조건문 흐름도와 경계 사례표 정리지</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tblGrid>
      <w:tr>
        <w:trPr>
          <w:cantSplit/>
          <w:tblHeader/>
        </w:trPr>
        <w:tc>
          <w:tcPr>
            <w:tcW w:type="pct" w:w="25%"/>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경계값</w:t>
            </w:r>
          </w:p>
        </w:tc>
        <w:tc>
          <w:tcPr>
            <w:tcW w:type="pct" w:w="25%"/>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겹침 사례</w:t>
            </w:r>
          </w:p>
        </w:tc>
        <w:tc>
          <w:tcPr>
            <w:tcW w:type="pct" w:w="25%"/>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기본 분류</w:t>
            </w:r>
          </w:p>
        </w:tc>
        <w:tc>
          <w:tcPr>
            <w:tcW w:type="pct" w:w="25%"/>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수정 규칙</w:t>
            </w:r>
          </w:p>
        </w:tc>
      </w:tr>
      <w:tr>
        <w:trPr>
          <w:cantSplit/>
          <w:tblHeader w:val="false"/>
        </w:trPr>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r>
      <w:tr>
        <w:trPr>
          <w:cantSplit/>
          <w:tblHeader w:val="false"/>
        </w:trPr>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r>
      <w:tr>
        <w:trPr>
          <w:cantSplit/>
          <w:tblHeader w:val="false"/>
        </w:trPr>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540"/>
            </w:pPr>
            <w:r>
              <w:rPr>
                <w:b w:val="false"/>
                <w:bCs w:val="false"/>
              </w:rPr>
              <w:t xml:space="preserve"> </w:t>
            </w:r>
          </w:p>
        </w:tc>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540"/>
            </w:pPr>
            <w:r>
              <w:rPr>
                <w:b w:val="false"/>
                <w:bCs w:val="false"/>
              </w:rPr>
              <w:t xml:space="preserve"> </w:t>
            </w:r>
          </w:p>
        </w:tc>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540"/>
            </w:pPr>
            <w:r>
              <w:rPr>
                <w:b w:val="false"/>
                <w:bCs w:val="false"/>
              </w:rPr>
              <w:t xml:space="preserve"> </w:t>
            </w:r>
          </w:p>
        </w:tc>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540"/>
            </w:pPr>
            <w:r>
              <w:rPr>
                <w:b w:val="false"/>
                <w:bCs w:val="false"/>
              </w:rPr>
              <w:t xml:space="preserve"> </w:t>
            </w:r>
          </w:p>
        </w:tc>
      </w:tr>
    </w:tbl>
    <w:p>
      <w:pPr>
        <w:pStyle w:val="Heading1"/>
        <w:keepNext/>
      </w:pPr>
      <w:r>
        <w:t xml:space="preserve">사용자와 해결할 필요</w:t>
      </w:r>
    </w:p>
    <w:tbl>
      <w:tblPr>
        <w:tblW w:type="pct" w:w="100%"/>
        <w:tblBorders>
          <w:top w:val="none" w:color="FFFFFF" w:sz="0"/>
          <w:left w:val="none" w:color="FFFFFF" w:sz="0"/>
          <w:bottom w:val="none" w:color="FFFFFF" w:sz="0"/>
          <w:right w:val="none" w:color="FFFFFF" w:sz="0"/>
          <w:insideH w:val="none" w:color="FFFFFF" w:sz="0"/>
          <w:insideV w:val="none" w:color="FFFFFF" w:sz="0"/>
        </w:tblBorders>
      </w:tblPr>
      <w:tblGrid>
        <w:gridCol w:w="100"/>
      </w:tblGrid>
      <w:tr>
        <w:trPr>
          <w:cantSplit/>
        </w:trPr>
        <w:tc>
          <w:tcPr>
            <w:tcBorders>
              <w:top w:val="none" w:color="FFFFFF" w:sz="0"/>
              <w:left w:val="none" w:color="FFFFFF" w:sz="0"/>
              <w:bottom w:val="none" w:color="FFFFFF" w:sz="0"/>
              <w:right w:val="none" w:color="FFFFFF" w:sz="0"/>
            </w:tcBorders>
            <w:tcMar>
              <w:top w:type="dxa" w:w="0"/>
              <w:left w:type="dxa" w:w="0"/>
              <w:bottom w:type="dxa" w:w="100"/>
              <w:right w:type="dxa" w:w="0"/>
            </w:tcMar>
          </w:tcPr>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tc>
      </w:tr>
    </w:tbl>
    <w:p>
      <w:pPr>
        <w:pStyle w:val="Heading1"/>
        <w:keepNext/>
      </w:pPr>
      <w:r>
        <w:t xml:space="preserve">설계 조건·아이디어 비교</w:t>
      </w:r>
    </w:p>
    <w:tbl>
      <w:tblPr>
        <w:tblW w:type="pct" w:w="100%"/>
        <w:tblBorders>
          <w:top w:val="none" w:color="FFFFFF" w:sz="0"/>
          <w:left w:val="none" w:color="FFFFFF" w:sz="0"/>
          <w:bottom w:val="none" w:color="FFFFFF" w:sz="0"/>
          <w:right w:val="none" w:color="FFFFFF" w:sz="0"/>
          <w:insideH w:val="none" w:color="FFFFFF" w:sz="0"/>
          <w:insideV w:val="none" w:color="FFFFFF" w:sz="0"/>
        </w:tblBorders>
      </w:tblPr>
      <w:tblGrid>
        <w:gridCol w:w="100"/>
      </w:tblGrid>
      <w:tr>
        <w:trPr>
          <w:cantSplit/>
        </w:trPr>
        <w:tc>
          <w:tcPr>
            <w:tcBorders>
              <w:top w:val="none" w:color="FFFFFF" w:sz="0"/>
              <w:left w:val="none" w:color="FFFFFF" w:sz="0"/>
              <w:bottom w:val="none" w:color="FFFFFF" w:sz="0"/>
              <w:right w:val="none" w:color="FFFFFF" w:sz="0"/>
            </w:tcBorders>
            <w:tcMar>
              <w:top w:type="dxa" w:w="0"/>
              <w:left w:type="dxa" w:w="0"/>
              <w:bottom w:type="dxa" w:w="100"/>
              <w:right w:type="dxa" w:w="0"/>
            </w:tcMar>
          </w:tcPr>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tc>
      </w:tr>
    </w:tbl>
    <w:p>
      <w:pPr>
        <w:pStyle w:val="Heading1"/>
        <w:keepNext/>
      </w:pPr>
      <w:r>
        <w:t xml:space="preserve">제작 또는 표현 과정</w:t>
      </w:r>
    </w:p>
    <w:tbl>
      <w:tblPr>
        <w:tblW w:type="pct" w:w="100%"/>
        <w:tblBorders>
          <w:top w:val="none" w:color="FFFFFF" w:sz="0"/>
          <w:left w:val="none" w:color="FFFFFF" w:sz="0"/>
          <w:bottom w:val="none" w:color="FFFFFF" w:sz="0"/>
          <w:right w:val="none" w:color="FFFFFF" w:sz="0"/>
          <w:insideH w:val="none" w:color="FFFFFF" w:sz="0"/>
          <w:insideV w:val="none" w:color="FFFFFF" w:sz="0"/>
        </w:tblBorders>
      </w:tblPr>
      <w:tblGrid>
        <w:gridCol w:w="100"/>
      </w:tblGrid>
      <w:tr>
        <w:trPr>
          <w:cantSplit/>
        </w:trPr>
        <w:tc>
          <w:tcPr>
            <w:tcBorders>
              <w:top w:val="none" w:color="FFFFFF" w:sz="0"/>
              <w:left w:val="none" w:color="FFFFFF" w:sz="0"/>
              <w:bottom w:val="none" w:color="FFFFFF" w:sz="0"/>
              <w:right w:val="none" w:color="FFFFFF" w:sz="0"/>
            </w:tcBorders>
            <w:tcMar>
              <w:top w:type="dxa" w:w="0"/>
              <w:left w:type="dxa" w:w="0"/>
              <w:bottom w:type="dxa" w:w="100"/>
              <w:right w:type="dxa" w:w="0"/>
            </w:tcMar>
          </w:tcPr>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tc>
      </w:tr>
    </w:tbl>
    <w:p>
      <w:pPr>
        <w:pStyle w:val="Heading1"/>
        <w:keepNext/>
      </w:pPr>
      <w:r>
        <w:t xml:space="preserve">시험 결과와 수정 이유</w:t>
      </w:r>
    </w:p>
    <w:tbl>
      <w:tblPr>
        <w:tblW w:type="pct" w:w="100%"/>
        <w:tblBorders>
          <w:top w:val="none" w:color="FFFFFF" w:sz="0"/>
          <w:left w:val="none" w:color="FFFFFF" w:sz="0"/>
          <w:bottom w:val="none" w:color="FFFFFF" w:sz="0"/>
          <w:right w:val="none" w:color="FFFFFF" w:sz="0"/>
          <w:insideH w:val="none" w:color="FFFFFF" w:sz="0"/>
          <w:insideV w:val="none" w:color="FFFFFF" w:sz="0"/>
        </w:tblBorders>
      </w:tblPr>
      <w:tblGrid>
        <w:gridCol w:w="100"/>
      </w:tblGrid>
      <w:tr>
        <w:trPr>
          <w:cantSplit/>
        </w:trPr>
        <w:tc>
          <w:tcPr>
            <w:tcBorders>
              <w:top w:val="none" w:color="FFFFFF" w:sz="0"/>
              <w:left w:val="none" w:color="FFFFFF" w:sz="0"/>
              <w:bottom w:val="none" w:color="FFFFFF" w:sz="0"/>
              <w:right w:val="none" w:color="FFFFFF" w:sz="0"/>
            </w:tcBorders>
            <w:tcMar>
              <w:top w:type="dxa" w:w="0"/>
              <w:left w:type="dxa" w:w="0"/>
              <w:bottom w:type="dxa" w:w="100"/>
              <w:right w:type="dxa" w:w="0"/>
            </w:tcMar>
          </w:tcPr>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tc>
      </w:tr>
    </w:tbl>
    <w:p>
      <w:pPr>
        <w:pStyle w:val="Heading1"/>
        <w:keepNext/>
      </w:pPr>
      <w:r>
        <w:t xml:space="preserve">자료 기록</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gridCol w:w="100"/>
        <w:gridCol w:w="100"/>
      </w:tblGrid>
      <w:tr>
        <w:trPr>
          <w:cantSplit/>
          <w:tblHeader/>
        </w:trPr>
        <w:tc>
          <w:tcPr>
            <w:tcW w:type="pct" w:w="16.666666666666668%"/>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제목</w:t>
            </w:r>
          </w:p>
        </w:tc>
        <w:tc>
          <w:tcPr>
            <w:tcW w:type="pct" w:w="16.666666666666668%"/>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작성자·기관</w:t>
            </w:r>
          </w:p>
        </w:tc>
        <w:tc>
          <w:tcPr>
            <w:tcW w:type="pct" w:w="16.666666666666668%"/>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발행일</w:t>
            </w:r>
          </w:p>
        </w:tc>
        <w:tc>
          <w:tcPr>
            <w:tcW w:type="pct" w:w="16.666666666666668%"/>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주소·쪽수</w:t>
            </w:r>
          </w:p>
        </w:tc>
        <w:tc>
          <w:tcPr>
            <w:tcW w:type="pct" w:w="16.666666666666668%"/>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확인한 근거</w:t>
            </w:r>
          </w:p>
        </w:tc>
        <w:tc>
          <w:tcPr>
            <w:tcW w:type="pct" w:w="16.666666666666668%"/>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확인 날짜</w:t>
            </w:r>
          </w:p>
        </w:tc>
      </w:tr>
      <w:tr>
        <w:trPr>
          <w:cantSplit/>
          <w:tblHeader w:val="false"/>
        </w:trPr>
        <w:tc>
          <w:tcPr>
            <w:tcW w:type="pct" w:w="16.666666666666668%"/>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540"/>
            </w:pPr>
            <w:r>
              <w:rPr>
                <w:b w:val="false"/>
                <w:bCs w:val="false"/>
              </w:rPr>
              <w:t xml:space="preserve"> </w:t>
            </w:r>
          </w:p>
        </w:tc>
        <w:tc>
          <w:tcPr>
            <w:tcW w:type="pct" w:w="16.666666666666668%"/>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540"/>
            </w:pPr>
            <w:r>
              <w:rPr>
                <w:b w:val="false"/>
                <w:bCs w:val="false"/>
              </w:rPr>
              <w:t xml:space="preserve"> </w:t>
            </w:r>
          </w:p>
        </w:tc>
        <w:tc>
          <w:tcPr>
            <w:tcW w:type="pct" w:w="16.666666666666668%"/>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540"/>
            </w:pPr>
            <w:r>
              <w:rPr>
                <w:b w:val="false"/>
                <w:bCs w:val="false"/>
              </w:rPr>
              <w:t xml:space="preserve"> </w:t>
            </w:r>
          </w:p>
        </w:tc>
        <w:tc>
          <w:tcPr>
            <w:tcW w:type="pct" w:w="16.666666666666668%"/>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540"/>
            </w:pPr>
            <w:r>
              <w:rPr>
                <w:b w:val="false"/>
                <w:bCs w:val="false"/>
              </w:rPr>
              <w:t xml:space="preserve"> </w:t>
            </w:r>
          </w:p>
        </w:tc>
        <w:tc>
          <w:tcPr>
            <w:tcW w:type="pct" w:w="16.666666666666668%"/>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540"/>
            </w:pPr>
            <w:r>
              <w:rPr>
                <w:b w:val="false"/>
                <w:bCs w:val="false"/>
              </w:rPr>
              <w:t xml:space="preserve"> </w:t>
            </w:r>
          </w:p>
        </w:tc>
        <w:tc>
          <w:tcPr>
            <w:tcW w:type="pct" w:w="16.666666666666668%"/>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540"/>
            </w:pPr>
            <w:r>
              <w:rPr>
                <w:b w:val="false"/>
                <w:bCs w:val="false"/>
              </w:rPr>
              <w:t xml:space="preserve"> </w:t>
            </w:r>
          </w:p>
        </w:tc>
      </w:tr>
    </w:tbl>
    <w:p>
      <w:pPr>
        <w:pStyle w:val="Heading1"/>
        <w:keepNext/>
      </w:pPr>
      <w:r>
        <w:t xml:space="preserve">도움 받은 부분과 나의 수정</w:t>
      </w:r>
    </w:p>
    <w:p>
      <w:pPr>
        <w:spacing w:after="120" w:line="320"/>
      </w:pPr>
      <w:r>
        <w:t xml:space="preserve">도움의 출처 / 활용 범위 / 검증한 내용 / 수정 전후 / 나의 판단</w:t>
      </w:r>
    </w:p>
    <w:tbl>
      <w:tblPr>
        <w:tblW w:type="pct" w:w="100%"/>
        <w:tblBorders>
          <w:top w:val="none" w:color="FFFFFF" w:sz="0"/>
          <w:left w:val="none" w:color="FFFFFF" w:sz="0"/>
          <w:bottom w:val="none" w:color="FFFFFF" w:sz="0"/>
          <w:right w:val="none" w:color="FFFFFF" w:sz="0"/>
          <w:insideH w:val="none" w:color="FFFFFF" w:sz="0"/>
          <w:insideV w:val="none" w:color="FFFFFF" w:sz="0"/>
        </w:tblBorders>
      </w:tblPr>
      <w:tblGrid>
        <w:gridCol w:w="100"/>
      </w:tblGrid>
      <w:tr>
        <w:trPr>
          <w:cantSplit/>
        </w:trPr>
        <w:tc>
          <w:tcPr>
            <w:tcBorders>
              <w:top w:val="none" w:color="FFFFFF" w:sz="0"/>
              <w:left w:val="none" w:color="FFFFFF" w:sz="0"/>
              <w:bottom w:val="none" w:color="FFFFFF" w:sz="0"/>
              <w:right w:val="none" w:color="FFFFFF" w:sz="0"/>
            </w:tcBorders>
            <w:tcMar>
              <w:top w:type="dxa" w:w="0"/>
              <w:left w:type="dxa" w:w="0"/>
              <w:bottom w:type="dxa" w:w="100"/>
              <w:right w:type="dxa" w:w="0"/>
            </w:tcMar>
          </w:tcPr>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tc>
      </w:tr>
    </w:tbl>
    <w:p>
      <w:pPr>
        <w:pStyle w:val="Heading1"/>
        <w:keepNext/>
      </w:pPr>
      <w:r>
        <w:t xml:space="preserve">제출 전 점검</w:t>
      </w:r>
    </w:p>
    <w:p>
      <w:pPr>
        <w:spacing w:after="120" w:line="320"/>
      </w:pPr>
      <w:r>
        <w:t xml:space="preserve">□ 독자가 조건문 흐름도와 경계 사례표에서 판단의 근거가 된 원문 표현·수치·그림 위치를 다시 찾을 수 있나요?</w:t>
      </w:r>
    </w:p>
    <w:p>
      <w:pPr>
        <w:spacing w:after="120" w:line="320"/>
      </w:pPr>
      <w:r>
        <w:t xml:space="preserve">□ 가상 자료와 실제 관찰을 구분했나요? 결론의 적용 범위도 적었나요? 확인할 한계: 취향을 추정하는 규칙을 사람의 능력 평가로 확장하지 않는다.</w:t>
      </w:r>
    </w:p>
    <w:p>
      <w:pPr>
        <w:pStyle w:val="Heading1"/>
        <w:keepNext/>
      </w:pPr>
      <w:r>
        <w:t xml:space="preserve">참고 자료를 찾을 곳</w:t>
      </w:r>
    </w:p>
    <w:p>
      <w:pPr>
        <w:spacing w:after="120" w:line="320"/>
      </w:pPr>
      <w:r>
        <w:t xml:space="preserve">Code.org · Conditionals with Cards — https://code.org/curriculum/course2/12/Teacher</w:t>
      </w:r>
    </w:p>
    <w:p>
      <w:pPr>
        <w:spacing w:after="120" w:line="320"/>
      </w:pPr>
      <w:r>
        <w:t xml:space="preserve">카드의 조건을 판정해 if/else로 분류하는 활동 참고. 99·100·101쪽 경계 사례는 자체 제작이다.</w:t>
      </w:r>
    </w:p>
    <w:p>
      <w:r>
        <w:br w:type="page"/>
      </w:r>
    </w:p>
    <w:p>
      <w:pPr>
        <w:pStyle w:val="Heading1"/>
        <w:keepNext/>
      </w:pPr>
      <w:r>
        <w:t xml:space="preserve">예시 해설 — 작성 뒤 비교하기</w:t>
      </w:r>
    </w:p>
    <w:p>
      <w:pPr>
        <w:spacing w:after="120" w:line="320"/>
      </w:pPr>
      <w:r>
        <w:t xml:space="preserve">도서 99쪽·100쪽·101쪽 카드를 ‘100쪽 이하’와 ‘100쪽 이상’ 규칙에 넣는다.</w:t>
      </w:r>
    </w:p>
    <w:p>
      <w:pPr>
        <w:spacing w:after="120" w:line="320"/>
      </w:pPr>
      <w:r>
        <w:t xml:space="preserve">‘100쪽 이하’와 ‘100쪽 이상’ 규칙은 100쪽에서 겹친다.</w:t>
      </w:r>
    </w:p>
    <w:p>
      <w:pPr>
        <w:spacing w:after="120" w:line="320"/>
      </w:pPr>
      <w:r>
        <w:t xml:space="preserve">규칙을 “100쪽 미만”과 “100쪽 이상”으로 고치면 99쪽은 앞 범주, 100쪽과 101쪽은 뒤 범주에 한 번씩 들어간다.</w:t>
      </w:r>
    </w:p>
    <w:p>
      <w:pPr>
        <w:spacing w:after="120" w:line="320"/>
      </w:pPr>
      <w:r>
        <w:t xml:space="preserve">취향을 추정하는 규칙을 사람의 능력 평가로 확장하지 않는다.</w:t>
      </w:r>
    </w:p>
    <w:p>
      <w:pPr>
        <w:pStyle w:val="Heading1"/>
        <w:keepNext/>
      </w:pPr>
      <w:r>
        <w:t xml:space="preserve">자기 점검 기준</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rPr>
          <w:cantSplit/>
          <w:tblHeader/>
        </w:trPr>
        <w:tc>
          <w:tcPr>
            <w:tcW w:type="pct" w:w="33.333333333333336%"/>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기준</w:t>
            </w:r>
          </w:p>
        </w:tc>
        <w:tc>
          <w:tcPr>
            <w:tcW w:type="pct" w:w="33.333333333333336%"/>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충분히 드러난 모습</w:t>
            </w:r>
          </w:p>
        </w:tc>
        <w:tc>
          <w:tcPr>
            <w:tcW w:type="pct" w:w="33.333333333333336%"/>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더 보완할 모습</w:t>
            </w:r>
          </w:p>
        </w:tc>
      </w:tr>
      <w:tr>
        <w:trPr>
          <w:cantSplit/>
          <w:tblHeader w:val="false"/>
        </w:trPr>
        <w:tc>
          <w:tcPr>
            <w:tcW w:type="pct" w:w="33.333333333333336%"/>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80"/>
            </w:pPr>
            <w:r>
              <w:rPr>
                <w:b w:val="false"/>
                <w:bCs w:val="false"/>
              </w:rPr>
              <w:t xml:space="preserve">자료의 범위와 근거</w:t>
            </w:r>
          </w:p>
        </w:tc>
        <w:tc>
          <w:tcPr>
            <w:tcW w:type="pct" w:w="33.333333333333336%"/>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80"/>
            </w:pPr>
            <w:r>
              <w:rPr>
                <w:b w:val="false"/>
                <w:bCs w:val="false"/>
              </w:rPr>
              <w:t xml:space="preserve">조건문으로 만드는 분류 규칙 설명서의 검토 자료에 작성 주체·날짜·근거 위치가 있어 독자가 원문을 다시 확인할 수 있다.</w:t>
            </w:r>
          </w:p>
        </w:tc>
        <w:tc>
          <w:tcPr>
            <w:tcW w:type="pct" w:w="33.333333333333336%"/>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80"/>
            </w:pPr>
            <w:r>
              <w:rPr>
                <w:b w:val="false"/>
                <w:bCs w:val="false"/>
              </w:rPr>
              <w:t xml:space="preserve">자료 이름이나 위치가 빠져 관찰을 다시 확인하기 어렵다.</w:t>
            </w:r>
          </w:p>
        </w:tc>
      </w:tr>
      <w:tr>
        <w:trPr>
          <w:cantSplit/>
          <w:tblHeader w:val="false"/>
        </w:trPr>
        <w:tc>
          <w:tcPr>
            <w:tcW w:type="pct" w:w="33.333333333333336%"/>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80"/>
            </w:pPr>
            <w:r>
              <w:rPr>
                <w:b w:val="false"/>
                <w:bCs w:val="false"/>
              </w:rPr>
              <w:t xml:space="preserve">비교의 공정성과 판단</w:t>
            </w:r>
          </w:p>
        </w:tc>
        <w:tc>
          <w:tcPr>
            <w:tcW w:type="pct" w:w="33.333333333333336%"/>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80"/>
            </w:pPr>
            <w:r>
              <w:rPr>
                <w:b w:val="false"/>
                <w:bCs w:val="false"/>
              </w:rPr>
              <w:t xml:space="preserve">조건문 흐름도와 경계 사례표에 비교 기준이 표시되어 있고, 경계 조건에서 판단이 달라지는 이유를 보인다.</w:t>
            </w:r>
          </w:p>
        </w:tc>
        <w:tc>
          <w:tcPr>
            <w:tcW w:type="pct" w:w="33.333333333333336%"/>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80"/>
            </w:pPr>
            <w:r>
              <w:rPr>
                <w:b w:val="false"/>
                <w:bCs w:val="false"/>
              </w:rPr>
              <w:t xml:space="preserve">결과만 적고 무엇을 같게 두었는지 또는 왜 선택했는지 설명하지 않는다.</w:t>
            </w:r>
          </w:p>
        </w:tc>
      </w:tr>
      <w:tr>
        <w:trPr>
          <w:cantSplit/>
          <w:tblHeader w:val="false"/>
        </w:trPr>
        <w:tc>
          <w:tcPr>
            <w:tcW w:type="pct" w:w="33.333333333333336%"/>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80"/>
            </w:pPr>
            <w:r>
              <w:rPr>
                <w:b w:val="false"/>
                <w:bCs w:val="false"/>
              </w:rPr>
              <w:t xml:space="preserve">수정과 적용 범위</w:t>
            </w:r>
          </w:p>
        </w:tc>
        <w:tc>
          <w:tcPr>
            <w:tcW w:type="pct" w:w="33.333333333333336%"/>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80"/>
            </w:pPr>
            <w:r>
              <w:rPr>
                <w:b w:val="false"/>
                <w:bCs w:val="false"/>
              </w:rPr>
              <w:t xml:space="preserve">조건문 흐름도와 경계 사례표의 초안과 수정본을 대조하고, 반례·예외를 결론에 반영한다.</w:t>
            </w:r>
          </w:p>
        </w:tc>
        <w:tc>
          <w:tcPr>
            <w:tcW w:type="pct" w:w="33.333333333333336%"/>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80"/>
            </w:pPr>
            <w:r>
              <w:rPr>
                <w:b w:val="false"/>
                <w:bCs w:val="false"/>
              </w:rPr>
              <w:t xml:space="preserve">완성물은 있으나 다른 가능성과 적용할 수 없는 경우가 빠져 있다.</w:t>
            </w:r>
          </w:p>
        </w:tc>
      </w:tr>
    </w:tbl>
    <w:p>
      <w:pPr>
        <w:spacing w:after="120" w:line="320"/>
      </w:pPr>
      <w:r>
        <w:t xml:space="preserve">똑똑 · 큐레아 / 자체 제작 활동지 / 학교의 공식 평가 양식이 아닙니다.</w:t>
      </w:r>
    </w:p>
    <w:p>
      <w:pPr>
        <w:pStyle w:val="Source"/>
        <w:spacing w:before="240"/>
      </w:pPr>
      <w:r>
        <w:t xml:space="preserve">온라인 원문: https://www.dokdok.co/projects/conditional-classification-rules</w:t>
      </w:r>
    </w:p>
    <w:sectPr>
      <w:footerReference w:type="default" r:id="rId7"/>
      <w:pgSz w:w="11906" w:h="16838" w:orient="portrait"/>
      <w:pgMar w:top="960" w:right="960" w:bottom="960" w:left="96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anumGothic">
    <w:family w:val="auto"/>
    <w:pitch w:val="variable"/>
    <w:sig w:usb0="E0002AFF" w:usb1="C000247B" w:usb2="00000009" w:usb3="00000000" w:csb0="000001FF" w:csb1="00000000"/>
    <w:embedRegular r:id="rId1" w:fontKey="{e0c3c364-f9f8-c36f-4494-bfbc8b48dfe5}"/>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sz w:val="16"/>
        <w:szCs w:val="16"/>
      </w:rPr>
      <w:t xml:space="preserve">똑똑 · 큐레아  |  </w:t>
    </w:r>
    <w:r>
      <w:rPr>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NanumGothic" w:cs="NanumGothic" w:eastAsia="NanumGothic" w:hAnsi="NanumGothic"/>
        <w:color w:val="222222"/>
        <w:sz w:val="21"/>
        <w:szCs w:val="21"/>
      </w:rPr>
    </w:rPrDefault>
    <w:pPrDefault>
      <w:pPr>
        <w:spacing w:after="100" w:line="320"/>
      </w:pPr>
    </w:pPrDefault>
  </w:docDefaults>
  <w:style w:type="paragraph" w:styleId="Title">
    <w:name w:val="Title"/>
    <w:basedOn w:val="Normal"/>
    <w:next w:val="Normal"/>
    <w:qFormat/>
    <w:pPr>
      <w:spacing w:after="200"/>
    </w:pPr>
    <w:rPr>
      <w:b/>
      <w:bCs/>
      <w:color w:val="111111"/>
      <w:sz w:val="40"/>
      <w:szCs w:val="40"/>
    </w:rPr>
  </w:style>
  <w:style w:type="paragraph" w:styleId="Heading1">
    <w:name w:val="Heading 1"/>
    <w:basedOn w:val="Normal"/>
    <w:next w:val="Normal"/>
    <w:qFormat/>
    <w:pPr>
      <w:keepNext/>
      <w:spacing w:after="140" w:before="260"/>
    </w:pPr>
    <w:rPr>
      <w:b/>
      <w:bCs/>
      <w:color w:val="111111"/>
      <w:sz w:val="28"/>
      <w:szCs w:val="28"/>
    </w:rPr>
  </w:style>
  <w:style w:type="paragraph" w:styleId="Heading2">
    <w:name w:val="Heading 2"/>
    <w:basedOn w:val="Normal"/>
    <w:next w:val="Normal"/>
    <w:qFormat/>
    <w:pPr>
      <w:keepNext/>
      <w:spacing w:after="100" w:before="160"/>
    </w:pPr>
    <w:rPr>
      <w:b/>
      <w:bCs/>
      <w:color w:val="111111"/>
      <w:sz w:val="24"/>
      <w:szCs w:val="24"/>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Source">
    <w:name w:val="Source"/>
    <w:basedOn w:val="Normal"/>
    <w:rPr>
      <w:color w:val="555555"/>
      <w:sz w:val="17"/>
      <w:szCs w:val="17"/>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조건문으로 만드는 분류 규칙 설명서 — 나의 탐구 노트</dc:title>
  <dc:creator>똑똑</dc:creator>
  <dc:description>똑똑 · 에디터 나루 · 발행 2026.09.30</dc:description>
  <cp:lastModifiedBy>Un-named</cp:lastModifiedBy>
  <cp:revision>1</cp:revision>
  <dcterms:created xsi:type="dcterms:W3CDTF">2026-09-30T19:28:04.404Z</dcterms:created>
  <dcterms:modified xsi:type="dcterms:W3CDTF">2026-09-30T19:28:04.404Z</dcterms:modified>
</cp:coreProperties>
</file>

<file path=docProps/custom.xml><?xml version="1.0" encoding="utf-8"?>
<Properties xmlns="http://schemas.openxmlformats.org/officeDocument/2006/custom-properties" xmlns:vt="http://schemas.openxmlformats.org/officeDocument/2006/docPropsVTypes"/>
</file>